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8054A9">
        <w:rPr>
          <w:rFonts w:ascii="Times New Roman" w:hAnsi="Times New Roman"/>
          <w:b/>
        </w:rPr>
        <w:t xml:space="preserve"> Nº 078</w:t>
      </w:r>
    </w:p>
    <w:p w:rsidR="00805A2E" w:rsidRPr="000B68ED" w:rsidRDefault="00805A2E" w:rsidP="00754F85">
      <w:pPr>
        <w:spacing w:line="265" w:lineRule="auto"/>
        <w:ind w:right="9"/>
        <w:jc w:val="center"/>
        <w:rPr>
          <w:rFonts w:ascii="Times New Roman" w:hAnsi="Times New Roman"/>
          <w:b/>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E04D37">
        <w:rPr>
          <w:rFonts w:ascii="Times New Roman" w:hAnsi="Times New Roman"/>
          <w:color w:val="FF0000"/>
        </w:rPr>
        <w:t>18.818.945/0001/80</w:t>
      </w:r>
      <w:r w:rsidRPr="000B68ED">
        <w:rPr>
          <w:rFonts w:ascii="Times New Roman" w:hAnsi="Times New Roman"/>
        </w:rPr>
        <w:t xml:space="preserve">, representado pelo Sr. </w:t>
      </w:r>
      <w:r w:rsidR="00281275">
        <w:rPr>
          <w:rFonts w:ascii="Times New Roman" w:hAnsi="Times New Roman"/>
          <w:color w:val="FF0000"/>
        </w:rPr>
        <w:t>Almir Soares Martins</w:t>
      </w:r>
      <w:r w:rsidRPr="000B68ED">
        <w:rPr>
          <w:rFonts w:ascii="Times New Roman" w:hAnsi="Times New Roman"/>
        </w:rPr>
        <w:t xml:space="preserve"> e, de outro lado a firma </w:t>
      </w:r>
      <w:r w:rsidR="00210C61">
        <w:rPr>
          <w:rFonts w:ascii="Times New Roman" w:hAnsi="Times New Roman"/>
        </w:rPr>
        <w:t>J S COMERCIO VAREJISTA DE COMBUSTIVEIS EIRELI</w:t>
      </w:r>
      <w:r w:rsidRPr="000B68ED">
        <w:rPr>
          <w:rFonts w:ascii="Times New Roman" w:hAnsi="Times New Roman"/>
        </w:rPr>
        <w:t>, inscrita no CNPJ (MF) sob o nº</w:t>
      </w:r>
      <w:r w:rsidR="00210C61">
        <w:rPr>
          <w:rFonts w:ascii="Times New Roman" w:hAnsi="Times New Roman"/>
        </w:rPr>
        <w:t xml:space="preserve"> 33.650.298/0001-34</w:t>
      </w:r>
      <w:r w:rsidRPr="000B68ED">
        <w:rPr>
          <w:rFonts w:ascii="Times New Roman" w:hAnsi="Times New Roman"/>
        </w:rPr>
        <w:t xml:space="preserve">, estabelecida </w:t>
      </w:r>
      <w:r w:rsidR="00210C61">
        <w:rPr>
          <w:rFonts w:ascii="Times New Roman" w:hAnsi="Times New Roman"/>
        </w:rPr>
        <w:t xml:space="preserve">Avenida Barão do Rio Branco, S/Nº  </w:t>
      </w:r>
      <w:r w:rsidRPr="000B68ED">
        <w:rPr>
          <w:rFonts w:ascii="Times New Roman" w:hAnsi="Times New Roman"/>
        </w:rPr>
        <w:t xml:space="preserve">doravante denominada simplesmente CONTRATADA, neste ato representada pelo Sr.(a) </w:t>
      </w:r>
      <w:r w:rsidR="00210C61">
        <w:rPr>
          <w:rFonts w:ascii="Times New Roman" w:hAnsi="Times New Roman"/>
        </w:rPr>
        <w:t>Josias dos Santos Souza</w:t>
      </w:r>
      <w:r w:rsidRPr="000B68ED">
        <w:rPr>
          <w:rFonts w:ascii="Times New Roman" w:hAnsi="Times New Roman"/>
        </w:rPr>
        <w:t xml:space="preserve">, portador da Cédula de Identidade nº </w:t>
      </w:r>
      <w:r w:rsidR="00BA0436">
        <w:rPr>
          <w:rFonts w:ascii="Times New Roman" w:hAnsi="Times New Roman"/>
        </w:rPr>
        <w:t>2687207</w:t>
      </w:r>
      <w:r w:rsidRPr="000B68ED">
        <w:rPr>
          <w:rFonts w:ascii="Times New Roman" w:hAnsi="Times New Roman"/>
        </w:rPr>
        <w:t xml:space="preserve"> SS</w:t>
      </w:r>
      <w:r w:rsidR="00BA0436">
        <w:rPr>
          <w:rFonts w:ascii="Times New Roman" w:hAnsi="Times New Roman"/>
        </w:rPr>
        <w:t>P</w:t>
      </w:r>
      <w:r w:rsidRPr="000B68ED">
        <w:rPr>
          <w:rFonts w:ascii="Times New Roman" w:hAnsi="Times New Roman"/>
        </w:rPr>
        <w:t xml:space="preserve"> e CPF (MF) nº </w:t>
      </w:r>
      <w:r w:rsidR="00BA0436">
        <w:rPr>
          <w:rFonts w:ascii="Times New Roman" w:hAnsi="Times New Roman"/>
        </w:rPr>
        <w:t xml:space="preserve">490.696.162-20 </w:t>
      </w:r>
      <w:r w:rsidRPr="000B68ED">
        <w:rPr>
          <w:rFonts w:ascii="Times New Roman" w:hAnsi="Times New Roman"/>
        </w:rPr>
        <w:t>têm entre si justo e avençado, e celebram o presente Instrumento, do qual são partes integrantes o Edital do Pregão</w:t>
      </w:r>
      <w:r w:rsidR="006C6DC1">
        <w:rPr>
          <w:rFonts w:ascii="Times New Roman" w:hAnsi="Times New Roman"/>
        </w:rPr>
        <w:t xml:space="preserve"> Eletrônico</w:t>
      </w:r>
      <w:r w:rsidRPr="000B68ED">
        <w:rPr>
          <w:rFonts w:ascii="Times New Roman" w:hAnsi="Times New Roman"/>
        </w:rPr>
        <w:t xml:space="preserve"> nº </w:t>
      </w:r>
      <w:r w:rsidR="006C6DC1">
        <w:rPr>
          <w:rFonts w:ascii="Times New Roman" w:hAnsi="Times New Roman"/>
        </w:rPr>
        <w:t>02</w:t>
      </w:r>
      <w:r w:rsidR="008054A9">
        <w:rPr>
          <w:rFonts w:ascii="Times New Roman" w:hAnsi="Times New Roman"/>
        </w:rPr>
        <w:t>1</w:t>
      </w:r>
      <w:r>
        <w:rPr>
          <w:rFonts w:ascii="Times New Roman" w:hAnsi="Times New Roman"/>
        </w:rPr>
        <w:t>/20</w:t>
      </w:r>
      <w:r w:rsidR="00805A2E">
        <w:rPr>
          <w:rFonts w:ascii="Times New Roman" w:hAnsi="Times New Roman"/>
        </w:rPr>
        <w:t>20</w:t>
      </w:r>
      <w:r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bookmarkStart w:id="0" w:name="_Hlk502600106"/>
      <w:r w:rsidR="009505C6">
        <w:rPr>
          <w:rFonts w:ascii="Times New Roman" w:hAnsi="Times New Roman" w:cs="Times New Roman"/>
          <w:b/>
        </w:rPr>
        <w:t xml:space="preserve">AQUISIÇÃO DE ÓLEO HIDRÁLICO, LUBRIFICANTES, GRAXA </w:t>
      </w:r>
      <w:r w:rsidR="009505C6" w:rsidRPr="00A054D1">
        <w:rPr>
          <w:rFonts w:ascii="Times New Roman" w:hAnsi="Times New Roman" w:cs="Times New Roman"/>
          <w:b/>
        </w:rPr>
        <w:t>E DERIVADOS</w:t>
      </w:r>
      <w:r w:rsidR="009505C6">
        <w:rPr>
          <w:rFonts w:ascii="Times New Roman" w:hAnsi="Times New Roman" w:cs="Times New Roman"/>
          <w:b/>
        </w:rPr>
        <w:t xml:space="preserve"> DE PETRÓLEO</w:t>
      </w:r>
      <w:r w:rsidR="009505C6" w:rsidRPr="00A054D1">
        <w:rPr>
          <w:rFonts w:ascii="Times New Roman" w:hAnsi="Times New Roman" w:cs="Times New Roman"/>
          <w:b/>
        </w:rPr>
        <w:t xml:space="preserve">, DESTINADOS AO ABASTECIMENTO E MANUTENÇÃO DE EMBARCAÇÕES E VEÍCULOS, PARA </w:t>
      </w:r>
      <w:r w:rsidR="009505C6" w:rsidRPr="00A054D1">
        <w:rPr>
          <w:rFonts w:ascii="Times New Roman" w:eastAsia="Arial" w:hAnsi="Times New Roman" w:cs="Times New Roman"/>
          <w:b/>
        </w:rPr>
        <w:t xml:space="preserve">ATENDER AS NECESSIDADES DOS FUNDOS MUNICIPAIS, EDUCAÇÃO, SAÚDE E ASSISTÊNCIA SOCIAL E </w:t>
      </w:r>
      <w:r w:rsidR="009505C6" w:rsidRPr="00A054D1">
        <w:rPr>
          <w:rFonts w:ascii="Times New Roman" w:hAnsi="Times New Roman" w:cs="Times New Roman"/>
          <w:b/>
        </w:rPr>
        <w:t>TODAS AS UNIDADES ADMINISTRATIVAS DA PREFEITURA MUNICIPAL DE ANAJÁS-PA</w:t>
      </w:r>
      <w:r w:rsidR="009505C6" w:rsidRPr="000B68ED">
        <w:rPr>
          <w:rFonts w:ascii="Times New Roman" w:hAnsi="Times New Roman"/>
        </w:rPr>
        <w:t>.</w:t>
      </w: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281275" w:rsidTr="00281275">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281275" w:rsidRPr="00EB69AA" w:rsidRDefault="00754F85" w:rsidP="00EB69AA">
            <w:pPr>
              <w:jc w:val="both"/>
              <w:rPr>
                <w:rFonts w:ascii="Calibri" w:hAnsi="Calibri"/>
                <w:color w:val="000000"/>
              </w:rPr>
            </w:pPr>
            <w:r w:rsidRPr="000B68ED">
              <w:rPr>
                <w:rFonts w:ascii="Times New Roman" w:hAnsi="Times New Roman"/>
              </w:rPr>
              <w:t>1.    O valor des</w:t>
            </w:r>
            <w:r w:rsidR="00BA0436">
              <w:rPr>
                <w:rFonts w:ascii="Times New Roman" w:hAnsi="Times New Roman"/>
              </w:rPr>
              <w:t>te</w:t>
            </w:r>
            <w:r w:rsidR="003C2731">
              <w:rPr>
                <w:rFonts w:ascii="Times New Roman" w:hAnsi="Times New Roman"/>
              </w:rPr>
              <w:t xml:space="preserve"> contrato de</w:t>
            </w:r>
            <w:r w:rsidR="00BA0436">
              <w:rPr>
                <w:rFonts w:ascii="Times New Roman" w:hAnsi="Times New Roman"/>
              </w:rPr>
              <w:t xml:space="preserve"> </w:t>
            </w:r>
            <w:r w:rsidR="00570917" w:rsidRPr="003C2731">
              <w:rPr>
                <w:rFonts w:ascii="Times New Roman" w:hAnsi="Times New Roman"/>
              </w:rPr>
              <w:t xml:space="preserve"> </w:t>
            </w:r>
            <w:r w:rsidR="00570917" w:rsidRPr="00EB69AA">
              <w:rPr>
                <w:rFonts w:ascii="Times New Roman" w:hAnsi="Times New Roman"/>
              </w:rPr>
              <w:t>R$</w:t>
            </w:r>
            <w:r w:rsidR="00EB69AA" w:rsidRPr="00EB69AA">
              <w:rPr>
                <w:rFonts w:ascii="Times New Roman" w:hAnsi="Times New Roman"/>
              </w:rPr>
              <w:t xml:space="preserve"> 2.209,50</w:t>
            </w:r>
            <w:r w:rsidR="00EB69AA">
              <w:rPr>
                <w:rFonts w:ascii="Calibri" w:hAnsi="Calibri"/>
                <w:color w:val="000000"/>
                <w:sz w:val="22"/>
                <w:szCs w:val="22"/>
              </w:rPr>
              <w:t xml:space="preserve"> </w:t>
            </w:r>
            <w:r w:rsidR="00281275">
              <w:rPr>
                <w:rFonts w:ascii="Calibri" w:hAnsi="Calibri"/>
                <w:color w:val="000000"/>
                <w:sz w:val="22"/>
                <w:szCs w:val="22"/>
              </w:rPr>
              <w:t xml:space="preserve"> </w:t>
            </w:r>
            <w:r w:rsidR="00281275" w:rsidRPr="005C348A">
              <w:rPr>
                <w:rFonts w:ascii="Times New Roman" w:hAnsi="Times New Roman"/>
                <w:color w:val="FF0000"/>
              </w:rPr>
              <w:t>(</w:t>
            </w:r>
            <w:r w:rsidR="00EB69AA">
              <w:rPr>
                <w:rFonts w:ascii="Times New Roman" w:hAnsi="Times New Roman"/>
                <w:color w:val="FF0000"/>
              </w:rPr>
              <w:t>Dois mil, duz</w:t>
            </w:r>
            <w:r w:rsidR="00281275">
              <w:rPr>
                <w:rFonts w:ascii="Times New Roman" w:hAnsi="Times New Roman"/>
                <w:color w:val="FF0000"/>
              </w:rPr>
              <w:t xml:space="preserve">entos e </w:t>
            </w:r>
            <w:r w:rsidR="00EB69AA">
              <w:rPr>
                <w:rFonts w:ascii="Times New Roman" w:hAnsi="Times New Roman"/>
                <w:color w:val="FF0000"/>
              </w:rPr>
              <w:t>nove reais e cinquenta</w:t>
            </w:r>
            <w:r w:rsidR="00281275" w:rsidRPr="005C348A">
              <w:rPr>
                <w:rFonts w:ascii="Times New Roman" w:hAnsi="Times New Roman"/>
                <w:color w:val="FF0000"/>
              </w:rPr>
              <w:t xml:space="preserve"> centavos).</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73400B">
        <w:rPr>
          <w:rFonts w:ascii="Times New Roman" w:hAnsi="Times New Roman"/>
        </w:rPr>
        <w:t>Eletrônico nº 021</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73400B">
        <w:rPr>
          <w:rFonts w:ascii="Times New Roman" w:hAnsi="Times New Roman"/>
        </w:rPr>
        <w:t>Eletrônico nº 021</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1. 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73400B">
        <w:rPr>
          <w:rFonts w:ascii="Times New Roman" w:hAnsi="Times New Roman"/>
        </w:rPr>
        <w:t>co nº 021</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5953"/>
        <w:gridCol w:w="1843"/>
      </w:tblGrid>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jc w:val="center"/>
              <w:rPr>
                <w:rFonts w:ascii="Cambria" w:hAnsi="Cambria"/>
                <w:b/>
              </w:rPr>
            </w:pPr>
            <w:r w:rsidRPr="00281275">
              <w:rPr>
                <w:rFonts w:ascii="Cambria" w:hAnsi="Cambria"/>
                <w:b/>
                <w:sz w:val="22"/>
                <w:szCs w:val="22"/>
              </w:rPr>
              <w:t>DOTAÇÃO</w:t>
            </w:r>
          </w:p>
        </w:tc>
        <w:tc>
          <w:tcPr>
            <w:tcW w:w="5953"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jc w:val="center"/>
              <w:rPr>
                <w:rFonts w:ascii="Cambria" w:hAnsi="Cambria"/>
                <w:b/>
              </w:rPr>
            </w:pPr>
            <w:r w:rsidRPr="00281275">
              <w:rPr>
                <w:rFonts w:ascii="Cambria" w:hAnsi="Cambria"/>
                <w:b/>
                <w:sz w:val="22"/>
                <w:szCs w:val="22"/>
              </w:rPr>
              <w:t>PROGRAMA</w:t>
            </w:r>
          </w:p>
        </w:tc>
        <w:tc>
          <w:tcPr>
            <w:tcW w:w="1843"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jc w:val="center"/>
              <w:rPr>
                <w:rFonts w:ascii="Cambria" w:hAnsi="Cambria"/>
                <w:b/>
              </w:rPr>
            </w:pPr>
            <w:r w:rsidRPr="00281275">
              <w:rPr>
                <w:rFonts w:ascii="Cambria" w:hAnsi="Cambria"/>
                <w:b/>
                <w:sz w:val="22"/>
                <w:szCs w:val="22"/>
              </w:rPr>
              <w:t>E. DE DESPESA</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08 032 0133 2 059</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 De Conselhos: Tutelar/Assist. Social/Crianças e Adolescente.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08 122 1203 2 060</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Manutenção da Secretaria do Trabalho e Assistência Social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08 131 0082 2 061</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Publicidade e Campanhas Educativas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08 243 0132 2 063</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 do Prog. de Erradicação do Trab. Infantil/PETI-PVWC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08 243 0134 2 064</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Programa Primeira Infância-CRIANÇA FELIZ</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08 243 0134 2 065</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 Do Serv. De Convivência e Fortalecimento de Vinculo - SCFV</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08 244 0137 2 066</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Manutenção do Centro de Referência Especializado – CREAS- PAEFI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08 244 0137 2 067</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Manutenção de Centros de Referência e Assist. Social – CRAS-PAIF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r w:rsidR="00281275" w:rsidRPr="00281275" w:rsidTr="00D80965">
        <w:tc>
          <w:tcPr>
            <w:tcW w:w="2127"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rPr>
                <w:rFonts w:ascii="Cambria" w:hAnsi="Cambria"/>
              </w:rPr>
            </w:pPr>
            <w:r w:rsidRPr="00281275">
              <w:rPr>
                <w:rFonts w:ascii="Cambria" w:hAnsi="Cambria"/>
                <w:sz w:val="22"/>
                <w:szCs w:val="22"/>
              </w:rPr>
              <w:t>08 244 1002 2 067</w:t>
            </w:r>
          </w:p>
        </w:tc>
        <w:tc>
          <w:tcPr>
            <w:tcW w:w="5953" w:type="dxa"/>
            <w:tcBorders>
              <w:top w:val="single" w:sz="4" w:space="0" w:color="000000"/>
              <w:left w:val="single" w:sz="4" w:space="0" w:color="000000"/>
              <w:bottom w:val="single" w:sz="4" w:space="0" w:color="000000"/>
              <w:right w:val="single" w:sz="4" w:space="0" w:color="000000"/>
            </w:tcBorders>
            <w:hideMark/>
          </w:tcPr>
          <w:p w:rsidR="00281275" w:rsidRPr="00281275" w:rsidRDefault="00281275" w:rsidP="00D80965">
            <w:pPr>
              <w:ind w:right="-1"/>
              <w:rPr>
                <w:rFonts w:ascii="Cambria" w:hAnsi="Cambria"/>
              </w:rPr>
            </w:pPr>
            <w:r w:rsidRPr="00281275">
              <w:rPr>
                <w:rFonts w:ascii="Cambria" w:hAnsi="Cambria"/>
                <w:sz w:val="22"/>
                <w:szCs w:val="22"/>
              </w:rPr>
              <w:t>Programa de Atenção Integrada a Família/Cadastro Único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81275" w:rsidRPr="00281275" w:rsidRDefault="00281275" w:rsidP="00D80965">
            <w:pPr>
              <w:ind w:right="-1"/>
              <w:rPr>
                <w:rFonts w:ascii="Cambria" w:hAnsi="Cambria"/>
              </w:rPr>
            </w:pPr>
            <w:r w:rsidRPr="00281275">
              <w:rPr>
                <w:rFonts w:ascii="Cambria" w:hAnsi="Cambria"/>
                <w:sz w:val="22"/>
                <w:szCs w:val="22"/>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281275" w:rsidRDefault="00754F85" w:rsidP="00754F85">
      <w:pPr>
        <w:autoSpaceDE w:val="0"/>
        <w:autoSpaceDN w:val="0"/>
        <w:adjustRightInd w:val="0"/>
        <w:jc w:val="both"/>
        <w:rPr>
          <w:rFonts w:ascii="Times New Roman" w:hAnsi="Times New Roman"/>
        </w:rPr>
      </w:pPr>
      <w:r w:rsidRPr="00281275">
        <w:rPr>
          <w:rFonts w:ascii="Times New Roman" w:hAnsi="Times New Roman"/>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sidRPr="00881659">
        <w:rPr>
          <w:rFonts w:ascii="Times New Roman" w:hAnsi="Times New Roman"/>
          <w:color w:val="FF0000"/>
        </w:rPr>
        <w:t>Prefeitura Municipal de Anajás</w:t>
      </w:r>
      <w:r w:rsidRPr="00281275">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D26755"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D26755"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E04D37" w:rsidRDefault="00E04D37" w:rsidP="00754F85">
      <w:pPr>
        <w:autoSpaceDE w:val="0"/>
        <w:autoSpaceDN w:val="0"/>
        <w:adjustRightInd w:val="0"/>
        <w:jc w:val="both"/>
        <w:rPr>
          <w:rFonts w:ascii="Times New Roman" w:hAnsi="Times New Roman"/>
          <w:b/>
          <w:bCs/>
        </w:rPr>
      </w:pPr>
    </w:p>
    <w:p w:rsidR="00E04D37" w:rsidRDefault="00E04D37"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73400B">
        <w:rPr>
          <w:rFonts w:ascii="Times New Roman" w:hAnsi="Times New Roman"/>
        </w:rPr>
        <w:t xml:space="preserve"> nº 021</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7672E"/>
    <w:rsid w:val="000C3680"/>
    <w:rsid w:val="000C704A"/>
    <w:rsid w:val="000D4935"/>
    <w:rsid w:val="000D702B"/>
    <w:rsid w:val="000F649C"/>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3A8B"/>
    <w:rsid w:val="002106A5"/>
    <w:rsid w:val="00210C61"/>
    <w:rsid w:val="00212181"/>
    <w:rsid w:val="00221BFD"/>
    <w:rsid w:val="002309C8"/>
    <w:rsid w:val="0025078A"/>
    <w:rsid w:val="00266591"/>
    <w:rsid w:val="0027455F"/>
    <w:rsid w:val="00281275"/>
    <w:rsid w:val="00287CB2"/>
    <w:rsid w:val="002B03D1"/>
    <w:rsid w:val="002E483E"/>
    <w:rsid w:val="002E4DE7"/>
    <w:rsid w:val="002F3422"/>
    <w:rsid w:val="002F7E6E"/>
    <w:rsid w:val="00325C63"/>
    <w:rsid w:val="00337379"/>
    <w:rsid w:val="003879E2"/>
    <w:rsid w:val="003943B9"/>
    <w:rsid w:val="00395B55"/>
    <w:rsid w:val="003C0439"/>
    <w:rsid w:val="003C2731"/>
    <w:rsid w:val="004039BE"/>
    <w:rsid w:val="00410D27"/>
    <w:rsid w:val="004309F2"/>
    <w:rsid w:val="00446FEE"/>
    <w:rsid w:val="004849F2"/>
    <w:rsid w:val="0048511B"/>
    <w:rsid w:val="004979F5"/>
    <w:rsid w:val="005248A7"/>
    <w:rsid w:val="005443C0"/>
    <w:rsid w:val="00551A0D"/>
    <w:rsid w:val="00563825"/>
    <w:rsid w:val="00565605"/>
    <w:rsid w:val="00570917"/>
    <w:rsid w:val="00582826"/>
    <w:rsid w:val="00587457"/>
    <w:rsid w:val="005C348A"/>
    <w:rsid w:val="005C52A6"/>
    <w:rsid w:val="005F400B"/>
    <w:rsid w:val="006240F6"/>
    <w:rsid w:val="00644DD8"/>
    <w:rsid w:val="006503B4"/>
    <w:rsid w:val="00683F5F"/>
    <w:rsid w:val="00697C92"/>
    <w:rsid w:val="006A0B87"/>
    <w:rsid w:val="006B7DE9"/>
    <w:rsid w:val="006C6DC1"/>
    <w:rsid w:val="006E7B9C"/>
    <w:rsid w:val="006F7FAA"/>
    <w:rsid w:val="00710910"/>
    <w:rsid w:val="00716CA2"/>
    <w:rsid w:val="00717BC0"/>
    <w:rsid w:val="00726174"/>
    <w:rsid w:val="0073400B"/>
    <w:rsid w:val="00743EB1"/>
    <w:rsid w:val="007527D1"/>
    <w:rsid w:val="00753398"/>
    <w:rsid w:val="00754F85"/>
    <w:rsid w:val="00766B4E"/>
    <w:rsid w:val="0077037A"/>
    <w:rsid w:val="007850F9"/>
    <w:rsid w:val="007C4EA2"/>
    <w:rsid w:val="007F091F"/>
    <w:rsid w:val="007F33B0"/>
    <w:rsid w:val="008054A9"/>
    <w:rsid w:val="00805A2E"/>
    <w:rsid w:val="00881659"/>
    <w:rsid w:val="0088384C"/>
    <w:rsid w:val="008955D0"/>
    <w:rsid w:val="008A672D"/>
    <w:rsid w:val="008C469C"/>
    <w:rsid w:val="008E71FB"/>
    <w:rsid w:val="00937B7F"/>
    <w:rsid w:val="009505C6"/>
    <w:rsid w:val="009B3855"/>
    <w:rsid w:val="009B45B5"/>
    <w:rsid w:val="009C0941"/>
    <w:rsid w:val="009D4B4B"/>
    <w:rsid w:val="00A04B77"/>
    <w:rsid w:val="00A054D1"/>
    <w:rsid w:val="00A170FC"/>
    <w:rsid w:val="00A45DC6"/>
    <w:rsid w:val="00A76433"/>
    <w:rsid w:val="00A9447C"/>
    <w:rsid w:val="00AB3BFE"/>
    <w:rsid w:val="00AC1FCC"/>
    <w:rsid w:val="00AC405E"/>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26755"/>
    <w:rsid w:val="00D27BF4"/>
    <w:rsid w:val="00D750B4"/>
    <w:rsid w:val="00DA09AE"/>
    <w:rsid w:val="00DB570A"/>
    <w:rsid w:val="00E04D37"/>
    <w:rsid w:val="00E1236C"/>
    <w:rsid w:val="00E13424"/>
    <w:rsid w:val="00E23DBC"/>
    <w:rsid w:val="00E27CEB"/>
    <w:rsid w:val="00E430EB"/>
    <w:rsid w:val="00E65DC9"/>
    <w:rsid w:val="00E7284A"/>
    <w:rsid w:val="00EA5257"/>
    <w:rsid w:val="00EB47A6"/>
    <w:rsid w:val="00EB69AA"/>
    <w:rsid w:val="00EC608F"/>
    <w:rsid w:val="00EF14E8"/>
    <w:rsid w:val="00EF1CCF"/>
    <w:rsid w:val="00F0769E"/>
    <w:rsid w:val="00F64153"/>
    <w:rsid w:val="00F70511"/>
    <w:rsid w:val="00F70A78"/>
    <w:rsid w:val="00F72267"/>
    <w:rsid w:val="00F7653E"/>
    <w:rsid w:val="00FC2924"/>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1833609">
      <w:bodyDiv w:val="1"/>
      <w:marLeft w:val="0"/>
      <w:marRight w:val="0"/>
      <w:marTop w:val="0"/>
      <w:marBottom w:val="0"/>
      <w:divBdr>
        <w:top w:val="none" w:sz="0" w:space="0" w:color="auto"/>
        <w:left w:val="none" w:sz="0" w:space="0" w:color="auto"/>
        <w:bottom w:val="none" w:sz="0" w:space="0" w:color="auto"/>
        <w:right w:val="none" w:sz="0" w:space="0" w:color="auto"/>
      </w:divBdr>
    </w:div>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979963780">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325401975">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4C88B-4996-4FEA-85B4-6DFEB101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2667</Words>
  <Characters>14408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51</cp:revision>
  <cp:lastPrinted>2020-08-31T19:10:00Z</cp:lastPrinted>
  <dcterms:created xsi:type="dcterms:W3CDTF">2020-08-20T13:48:00Z</dcterms:created>
  <dcterms:modified xsi:type="dcterms:W3CDTF">2020-09-28T15:28:00Z</dcterms:modified>
</cp:coreProperties>
</file>